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14="http://schemas.microsoft.com/office/word/2010/wordml" xmlns:a="http://schemas.openxmlformats.org/drawingml/2006/main" xmlns:r="http://schemas.openxmlformats.org/officeDocument/2006/relationships" xmlns:mc="http://schemas.openxmlformats.org/markup-compatibility/2006" xmlns:wp="http://schemas.openxmlformats.org/drawingml/2006/wordprocessingDrawing" xmlns:pic="http://schemas.openxmlformats.org/drawingml/2006/picture" xmlns:vyd="http://volga.yandex.com/schemas/document/model" xmlns:w="http://schemas.openxmlformats.org/wordprocessingml/2006/main" w:conformance="transitional" mc:Ignorable="vyd">
  <w:background/>
  <w:body vyd:_id="vyd:00000000000001">
    <w:p w14:paraId="01000000" vyd:_id="vyd:0000000000002j">
      <w:pPr>
        <w:spacing w:after="280" w:line="240" w:lineRule="auto"/>
        <w:ind/>
        <w:jc w:val="center"/>
        <w:rPr>
          <w:rFonts w:ascii="Arial" w:hAnsi="Arial"/>
          <w:sz w:val="48"/>
          <w:color w:val="000000"/>
          <w:b w:val="1"/>
        </w:rPr>
      </w:pPr>
      <w:bookmarkStart w:id="1" w:name="_gjdgxs" vyd:_id="vyd:0000000000002l"/>
      <w:bookmarkEnd w:id="1"/>
      <w:r>
        <w:rPr>
          <w:rFonts w:ascii="Arial" w:hAnsi="Arial"/>
          <w:sz w:val="48"/>
          <w:color w:val="000000"/>
          <w:b w:val="1"/>
        </w:rPr>
        <w:t vyd:_id="vyd:0000000000002k">Микрозаем: как это работает и что нужно знать о займе в МФО</w:t>
      </w:r>
    </w:p>
    <w:p w14:paraId="02000000" vyd:_id="vyd:0000000000002h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2i">Во-первых, определитесь, действительно ли ваша ситуация настолько критическая, что на ее решение нужно занимать деньги.</w:t>
      </w:r>
    </w:p>
    <w:p w14:paraId="03000000" vyd:_id="vyd:0000000000002f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2g">Во-вторых, оцените свои возможности: деньги, взятые в долг, нужно возвращать, да еще и с процентами. Сможете ли вы вернуть заем вовремя без сильного вреда для будущего бюджета?</w:t>
      </w:r>
    </w:p>
    <w:p w14:paraId="04000000" vyd:_id="vyd:0000000000002d">
      <w:pPr>
        <w:spacing w:after="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2e">Итак, деньги все-таки нужны, и вы задумались о кредите или займе. Это распространенный и несложный способ решить временную финансовую проблему. Важно только соблюдать несколько правил.</w:t>
      </w:r>
    </w:p>
    <w:p w14:paraId="05000000" vyd:_id="vyd:0000000000002b">
      <w:pPr>
        <w:spacing w:after="280" w:before="280" w:line="240" w:lineRule="auto"/>
        <w:ind/>
        <w:jc w:val="center"/>
        <w:rPr>
          <w:rFonts w:ascii="XO Thames" w:hAnsi="XO Thames"/>
          <w:sz w:val="32"/>
          <w:color w:val="000000"/>
          <w:b w:val="1"/>
        </w:rPr>
      </w:pPr>
      <w:r>
        <w:rPr>
          <w:rFonts w:ascii="XO Thames" w:hAnsi="XO Thames"/>
          <w:sz w:val="32"/>
          <w:color w:val="000000"/>
          <w:b w:val="1"/>
        </w:rPr>
        <w:t vyd:_id="vyd:0000000000002c" xml:space="preserve"> С чего начать?</w:t>
      </w:r>
    </w:p>
    <w:p w14:paraId="06000000" vyd:_id="vyd:00000000000029">
      <w:pPr>
        <w:spacing w:after="280" w:before="280" w:line="240" w:lineRule="auto"/>
        <w:ind/>
        <w:jc w:val="both"/>
        <w:rPr>
          <w:rFonts w:ascii="XO Thames" w:hAnsi="XO Thames"/>
          <w:sz w:val="28"/>
          <w:color w:val="000000"/>
          <w:b w:val="1"/>
        </w:rPr>
      </w:pPr>
      <w:r>
        <w:rPr>
          <w:rFonts w:ascii="XO Thames" w:hAnsi="XO Thames"/>
          <w:sz w:val="28"/>
          <w:color w:val="000000"/>
          <w:b w:val="1"/>
        </w:rPr>
        <w:t vyd:_id="vyd:0000000000002a">1.Выберите кредитора</w:t>
      </w:r>
    </w:p>
    <w:p w14:paraId="07000000" vyd:_id="vyd:00000000000027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28">Для начала нужно определиться, где взять в долг. Есть два наиболее распространенных варианта со своими особенностями: банк или МФО — микрофинансовая организация. Если у вас есть в запасе время, хорошая кредитная история, и вы можете легко предоставить все нужные документы — обратитесь в банк. Банк выдаст вам деньги на долгий срок под процент, который будет заметно меньше, чем при займе в МФО.</w:t>
      </w:r>
    </w:p>
    <w:p w14:paraId="08000000" vyd:_id="vyd:00000000000025">
      <w:pPr>
        <w:spacing w:after="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26">Если у вас нет времени или вы не уверены, что банк одобрит вам кредит, а сумма нужна небольшая и на короткий срок, вы можете обратиться в микрофинансовую организацию.</w:t>
      </w:r>
    </w:p>
    <w:p w14:paraId="09000000" vyd:_id="vyd:00000000000021">
      <w:pPr>
        <w:spacing w:after="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24" xml:space="preserve">МФО когда-то были созданы для поддержки малого бизнеса, который не всегда может рассчитывать на финансирование со стороны банков. Но среди обычных людей услуга быстрого займа тоже стала пользоваться спросом, поэтому МФО выдают и потребительские займы (в том числе займы «до зарплаты»). Вот только процент у такого микрозайма намного выше, поэтому жить долго с ним нельзя — он придуман не для этого </w:t>
      </w:r>
      <w:r>
        <w:rPr>
          <w:rFonts w:ascii="XO Thames" w:hAnsi="XO Thames"/>
          <w:sz w:val="28"/>
          <w:color w:val="000000"/>
        </w:rPr>
        <w:drawing vyd:_id="vyd:00000000000023">
          <wp:inline distT="0" distB="0" distL="0" distR="0">
            <wp:extent cx="5898829" cy="2475394"/>
            <wp:effectExtent b="0" l="0" r="0" t="0"/>
            <wp:docPr hidden="0"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hidden="0" id="1" name="Picture 1"/>
                    <pic:cNvPicPr preferRelativeResize="1"/>
                  </pic:nvPicPr>
                  <pic:blipFill>
                    <a:blip r:embed="rId1"/>
                    <a:srcRect b="0" l="0" r="0" t="0"/>
                    <a:stretch>
                      <a:fillRect/>
                    </a:stretch>
                  </pic:blipFill>
                  <pic:spPr>
                    <a:xfrm flipH="0" flipV="0" rot="0">
                      <a:ext cx="5898829" cy="2475394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XO Thames" w:hAnsi="XO Thames"/>
          <w:sz w:val="28"/>
          <w:color w:val="000000"/>
        </w:rPr>
        <w:t vyd:_id="vyd:00000000000022">и начнет «есть» ваши финансы.</w:t>
      </w:r>
    </w:p>
    <w:p w14:paraId="0A000000" vyd:_id="vyd:00000000000020">
      <w:pPr>
        <w:spacing w:after="0" w:line="240" w:lineRule="auto"/>
        <w:ind/>
        <w:jc w:val="both"/>
        <w:rPr>
          <w:rFonts w:ascii="XO Thames" w:hAnsi="XO Thames"/>
          <w:sz w:val="28"/>
          <w:color w:val="000000"/>
        </w:rPr>
      </w:pPr>
    </w:p>
    <w:p w14:paraId="0B000000" vyd:_id="vyd:0000000000001y">
      <w:pPr>
        <w:spacing w:after="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z">В договоре потребительского микрозайма на первой странице в правом верхнем углу в квадратной рамке перед табличной формой индивидуальных условий обязательно должна быть указана полная стоимость займа в процентах годовых.</w:t>
      </w:r>
    </w:p>
    <w:p w14:paraId="0C000000" vyd:_id="vyd:0000000000001t">
      <w:pPr>
        <w:spacing w:after="0" w:line="240" w:lineRule="auto"/>
        <w:ind w:start="4535" w:firstLine="0"/>
        <w:jc w:val="both"/>
        <w:rPr>
          <w:rFonts w:ascii="XO Thames" w:hAnsi="XO Thames"/>
          <w:sz w:val="28"/>
          <w:color w:val="000000"/>
          <w:i w:val="1"/>
        </w:rPr>
      </w:pPr>
      <w:r>
        <w:rPr>
          <w:rFonts w:ascii="XO Thames" w:hAnsi="XO Thames"/>
          <w:sz w:val="28"/>
          <w:color w:val="000000"/>
          <w:i w:val="1"/>
        </w:rPr>
        <w:t vyd:_id="vyd:0000000000001x" xml:space="preserve">Первое и главное, что нужно сделать, если вы берете микрозаем в МФО: </w:t>
      </w:r>
      <w:r>
        <w:fldChar w:fldCharType="begin" vyd:_id="vyd:0000000000001w"/>
      </w:r>
      <w:r>
        <w:instrText>HYPERLINK "http://www.cbr.ru/fmp_check/"</w:instrText>
      </w:r>
      <w:r>
        <w:fldChar w:fldCharType="separate"/>
      </w:r>
      <w:r>
        <w:rPr>
          <w:rFonts w:ascii="XO Thames" w:hAnsi="XO Thames"/>
          <w:sz w:val="28"/>
          <w:color w:val="1070A7"/>
          <w:u w:val="single"/>
          <w:i w:val="1"/>
        </w:rPr>
        <w:t vyd:_id="vyd:0000000000001v">проверить</w:t>
      </w:r>
      <w:r>
        <w:fldChar w:fldCharType="end" vyd:_id="vyd:0000000000001w-end"/>
      </w:r>
      <w:r>
        <w:rPr>
          <w:rFonts w:ascii="XO Thames" w:hAnsi="XO Thames"/>
          <w:sz w:val="28"/>
          <w:color w:val="000000"/>
          <w:i w:val="1"/>
        </w:rPr>
        <w:t vyd:_id="vyd:0000000000001u">, есть ли выбранная компания в государственном реестре МФО — так вы обезопасите себя от мошенников.</w:t>
      </w:r>
    </w:p>
    <w:p w14:paraId="0D000000" vyd:_id="vyd:0000000000001r">
      <w:pPr>
        <w:spacing w:after="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s">Когда вы обратитесь в МФО и вам расскажут об условиях займа, не торопитесь сразу подписывать договор. У вас есть 5 дней, чтобы обдумать предложение, которое вам сделали. Условия за это время измениться уже не могут. Возьмите паузу и проверьте, есть ли в реестре организация, которую вы выбрали. Данные в договоре должны полностью соответствовать данным в реестре: ОГРН, ИНН, полное и сокращенное наименование, адрес местонахождения.</w:t>
      </w:r>
    </w:p>
    <w:p w14:paraId="0E000000" vyd:_id="vyd:0000000000001p">
      <w:pPr>
        <w:spacing w:after="280" w:before="280" w:line="240" w:lineRule="auto"/>
        <w:ind/>
        <w:jc w:val="both"/>
        <w:rPr>
          <w:rFonts w:ascii="XO Thames" w:hAnsi="XO Thames"/>
          <w:sz w:val="28"/>
          <w:color w:val="000000"/>
          <w:b w:val="1"/>
        </w:rPr>
      </w:pPr>
      <w:r>
        <w:rPr>
          <w:rFonts w:ascii="XO Thames" w:hAnsi="XO Thames"/>
          <w:sz w:val="28"/>
          <w:color w:val="000000"/>
          <w:b w:val="1"/>
        </w:rPr>
        <w:t vyd:_id="vyd:0000000000001q">2.Оцените предложение</w:t>
      </w:r>
    </w:p>
    <w:p w14:paraId="0F000000" vyd:_id="vyd:0000000000001n">
      <w:pPr>
        <w:spacing w:after="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o">Даже если деньги нужны вам срочно, не торопитесь и не принимайте поспешных решений: оцените предложения разных компаний. Хотя микрозаем выдается на короткий срок, учитывайте, что 0,8% в день — это 24% в месяц. Взвесьте, действительно ли вы готовы столько переплачивать.</w:t>
      </w:r>
    </w:p>
    <w:p w14:paraId="10000000" vyd:_id="vyd:0000000000001l">
      <w:pPr>
        <w:spacing w:after="0" w:line="240" w:lineRule="auto"/>
        <w:ind w:start="4535" w:firstLine="0"/>
        <w:jc w:val="both"/>
        <w:rPr>
          <w:rFonts w:ascii="XO Thames" w:hAnsi="XO Thames"/>
          <w:sz w:val="28"/>
          <w:color w:val="000000"/>
          <w:i w:val="1"/>
        </w:rPr>
      </w:pPr>
      <w:r>
        <w:rPr>
          <w:rFonts w:ascii="XO Thames" w:hAnsi="XO Thames"/>
          <w:sz w:val="28"/>
          <w:color w:val="000000"/>
          <w:i w:val="1"/>
        </w:rPr>
        <w:t vyd:_id="vyd:0000000000001m">Максимальная процентная ставка по краткосрочному займу (до 1 года) — 0,8% в день, или 292% годовых.</w:t>
      </w:r>
    </w:p>
    <w:p w14:paraId="11000000" vyd:_id="vyd:0000000000001j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k">Итак:</w:t>
      </w:r>
    </w:p>
    <w:p w14:paraId="12000000" vyd:_id="vyd:0000000000001h">
      <w:pPr>
        <w:numPr>
          <w:ilvl w:val="0"/>
          <w:numId w:val="1"/>
        </w:numPr>
        <w:spacing w:after="0" w:before="280" w:line="240" w:lineRule="auto"/>
        <w:ind w:start="720" w:hanging="360"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i">Оцените процентные ставки, прочитайте индивидуальные условия договора (они должны быть в табличной форме) и общие условия (устанавливаются МФО в одностороннем порядке).</w:t>
      </w:r>
    </w:p>
    <w:p w14:paraId="13000000" vyd:_id="vyd:0000000000001f">
      <w:pPr>
        <w:numPr>
          <w:ilvl w:val="0"/>
          <w:numId w:val="1"/>
        </w:numPr>
        <w:spacing w:after="0" w:before="0" w:line="240" w:lineRule="auto"/>
        <w:ind w:start="720" w:hanging="360"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g">Внимательно изучите индивидуальные условия договора: в них могут быть указаны условия о дополнительных услугах. Они влияют на сумму, которую вам нужно вернуть.</w:t>
      </w:r>
    </w:p>
    <w:p w14:paraId="14000000" vyd:_id="vyd:0000000000001d">
      <w:pPr>
        <w:numPr>
          <w:ilvl w:val="0"/>
          <w:numId w:val="1"/>
        </w:numPr>
        <w:spacing w:after="280" w:before="0" w:line="240" w:lineRule="auto"/>
        <w:ind w:start="720" w:hanging="360"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e">Проверьте полную стоимость займа. Максимальная переплата в процентах годовых и в рублях обязательно должна быть указана в рамке в правом верхнем углу на первой странице индивидуальных условий договора.</w:t>
      </w:r>
    </w:p>
    <w:p w14:paraId="15000000" vyd:_id="vyd:0000000000001b">
      <w:pPr>
        <w:spacing w:after="280" w:before="280" w:line="240" w:lineRule="auto"/>
        <w:ind/>
        <w:jc w:val="center"/>
        <w:rPr>
          <w:rFonts w:ascii="XO Thames" w:hAnsi="XO Thames"/>
          <w:sz w:val="28"/>
          <w:color w:val="000000"/>
          <w:b w:val="1"/>
        </w:rPr>
      </w:pPr>
      <w:r>
        <w:rPr>
          <w:rFonts w:ascii="XO Thames" w:hAnsi="XO Thames"/>
          <w:sz w:val="28"/>
          <w:color w:val="000000"/>
          <w:b w:val="1"/>
        </w:rPr>
        <w:t vyd:_id="vyd:0000000000001c">Я взял микрозаем. О чем помнить?</w:t>
      </w:r>
    </w:p>
    <w:p w14:paraId="16000000" vyd:_id="vyd:00000000000019">
      <w:pPr>
        <w:spacing w:after="280" w:before="280" w:line="240" w:lineRule="auto"/>
        <w:ind/>
        <w:jc w:val="both"/>
        <w:rPr>
          <w:rFonts w:ascii="XO Thames" w:hAnsi="XO Thames"/>
          <w:sz w:val="28"/>
          <w:color w:val="000000"/>
          <w:b w:val="1"/>
        </w:rPr>
      </w:pPr>
      <w:r>
        <w:rPr>
          <w:rFonts w:ascii="XO Thames" w:hAnsi="XO Thames"/>
          <w:sz w:val="28"/>
          <w:color w:val="000000"/>
          <w:b w:val="1"/>
        </w:rPr>
        <w:t vyd:_id="vyd:0000000000001a">1.Сроки</w:t>
      </w:r>
    </w:p>
    <w:p w14:paraId="17000000" vyd:_id="vyd:00000000000017">
      <w:pPr>
        <w:spacing w:after="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8">Не забывайте, что микрозаем работает на вас, только если вы взяли его на небольшой срок. Чем быстрее вы погасите его, тем меньше денег из своего бюджета вам придется заплатить.</w:t>
      </w:r>
    </w:p>
    <w:p w14:paraId="18000000" vyd:_id="vyd:00000000000015">
      <w:pPr>
        <w:spacing w:after="280" w:before="280" w:line="240" w:lineRule="auto"/>
        <w:ind/>
        <w:jc w:val="both"/>
        <w:rPr>
          <w:rFonts w:ascii="XO Thames" w:hAnsi="XO Thames"/>
          <w:sz w:val="28"/>
          <w:color w:val="000000"/>
          <w:b w:val="1"/>
        </w:rPr>
      </w:pPr>
      <w:r>
        <w:rPr>
          <w:rFonts w:ascii="XO Thames" w:hAnsi="XO Thames"/>
          <w:sz w:val="28"/>
          <w:color w:val="000000"/>
          <w:b w:val="1"/>
        </w:rPr>
        <w:t vyd:_id="vyd:00000000000016">2.Проценты и неустойка</w:t>
      </w:r>
    </w:p>
    <w:p w14:paraId="19000000" vyd:_id="vyd:00000000000013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4">Если вы взяли микрозаем после 1 апреля  2026 года (включительно), общая сумма всех платежей с учетом процентов, штрафов, пеней, платы за дополнительные услуги (например, страхование) не может превышать сумму займа более чем в один раз.</w:t>
      </w:r>
    </w:p>
    <w:p w14:paraId="1A000000" vyd:_id="vyd:00000000000011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2">Например, если вы взяли 20 000 рублей, то отдадите обратно не больше 40 000 рублей: 20 000 рублей (сам долг) плюс проценты, штрафы, пени в размере не более 20 000 рублей (20 000 рублей х 1).</w:t>
      </w:r>
    </w:p>
    <w:p w14:paraId="1B000000" vyd:_id="vyd:0000000000000z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10">Раньше, с 1 июля 2023 года, максимальный размер переплаты не мог превышать основной долг больше чем в 1,3 раза.</w:t>
      </w:r>
    </w:p>
    <w:p w14:paraId="1C000000" vyd:_id="vyd:0000000000000x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0y">Если вам требуется до 10 000 рублей на срок до 15 дней, то вы можете оформить специальный заем, по которому действуют другие ограничения.</w:t>
      </w:r>
    </w:p>
    <w:p w14:paraId="1D000000" vyd:_id="vyd:0000000000000v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0w">По такому займу общая сумма начисленных процентов (кроме неустойки) и платежей за дополнительные услуги не должна превышать 1500 рублей, или 15% от суммы займа. Причем в день заемщик будет платить не больше 100 рублей. Например, если вам выдали спецзаем в 10 000 рублей на пару дней, то вы заплатите максимум 10 200 рублей, если вернете деньги вовремя.</w:t>
      </w:r>
    </w:p>
    <w:p w14:paraId="1E000000" vyd:_id="vyd:0000000000000t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0u">Неустойка за просрочку по любому займу не должна превышать 0,1% за каждый день задержки платежа, а если на сумму займа продолжают капать проценты — не более 15% годовых. Причем неустойку, штрафы или пени могут начислять только на непогашенную вовремя часть суммы основного долга, но не на проценты.</w:t>
      </w:r>
    </w:p>
    <w:p w14:paraId="1F000000" vyd:_id="vyd:0000000000000r">
      <w:pPr>
        <w:spacing w:after="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0s">Когда вы погашаете задолженность, не забывайте сохранять документы об оплате (чек, квитанцию или приходно-кассовый ордер). Если вы вносите деньги не в кассе МФО, а перечисляете на счет, заложите день-два до срока платежа, чтобы они точно пришли вовремя. Попросите у кредитора справку о том, что вы погасили заем (часть долга по займу).</w:t>
      </w:r>
    </w:p>
    <w:p w14:paraId="20000000" vyd:_id="vyd:0000000000000p">
      <w:pPr>
        <w:spacing w:after="280" w:before="280" w:line="240" w:lineRule="auto"/>
        <w:ind/>
        <w:jc w:val="both"/>
        <w:rPr>
          <w:rFonts w:ascii="XO Thames" w:hAnsi="XO Thames"/>
          <w:sz w:val="28"/>
          <w:color w:val="000000"/>
          <w:b w:val="1"/>
        </w:rPr>
      </w:pPr>
      <w:r>
        <w:rPr>
          <w:rFonts w:ascii="XO Thames" w:hAnsi="XO Thames"/>
          <w:sz w:val="28"/>
          <w:color w:val="000000"/>
          <w:b w:val="1"/>
        </w:rPr>
        <w:t vyd:_id="vyd:0000000000000q">3.Полномочия коллекторов</w:t>
      </w:r>
    </w:p>
    <w:p w14:paraId="21000000" vyd:_id="vyd:0000000000000l">
      <w:pPr>
        <w:spacing w:after="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0o" xml:space="preserve">Взыскатели задолженности (сам кредитор или коллекторы) по закону не могут злоупотреблять своими правами и намеренно причинять вред заемщику или поручителю. Если вы сталкиваетесь с подобными противоправными действиями, нужно обратиться в </w:t>
      </w:r>
      <w:r>
        <w:fldChar w:fldCharType="begin" vyd:_id="vyd:0000000000000n"/>
      </w:r>
      <w:r>
        <w:instrText>HYPERLINK "http://fssprus.ru/"</w:instrText>
      </w:r>
      <w:r>
        <w:fldChar w:fldCharType="separate"/>
      </w:r>
      <w:r>
        <w:rPr>
          <w:rFonts w:ascii="XO Thames" w:hAnsi="XO Thames"/>
          <w:sz w:val="28"/>
          <w:color w:val="1070A7"/>
          <w:u w:val="single"/>
        </w:rPr>
        <w:t vyd:_id="vyd:0000000000000m">Федеральную службу судебных приставов.</w:t>
      </w:r>
      <w:r>
        <w:fldChar w:fldCharType="end" vyd:_id="vyd:0000000000000n-end"/>
      </w:r>
    </w:p>
    <w:p w14:paraId="22000000" vyd:_id="vyd:0000000000000j">
      <w:pPr>
        <w:spacing w:after="280" w:before="280" w:line="240" w:lineRule="auto"/>
        <w:ind/>
        <w:jc w:val="both"/>
        <w:rPr>
          <w:rFonts w:ascii="XO Thames" w:hAnsi="XO Thames"/>
          <w:sz w:val="28"/>
          <w:color w:val="000000"/>
          <w:b w:val="1"/>
        </w:rPr>
      </w:pPr>
      <w:r>
        <w:rPr>
          <w:rFonts w:ascii="XO Thames" w:hAnsi="XO Thames"/>
          <w:sz w:val="28"/>
          <w:color w:val="000000"/>
          <w:b w:val="1"/>
        </w:rPr>
        <w:t vyd:_id="vyd:0000000000000k">4.Права заемщика</w:t>
      </w:r>
    </w:p>
    <w:p w14:paraId="23000000" vyd:_id="vyd:0000000000000e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0i" xml:space="preserve">Если вы считаете, что МФО нарушает ваши права, обращайтесь в </w:t>
      </w:r>
      <w:r>
        <w:fldChar w:fldCharType="begin" vyd:_id="vyd:0000000000000h"/>
      </w:r>
      <w:r>
        <w:instrText>HYPERLINK "https://www.cbr.ru/Reception/Message/Register?messageType=Complaint"</w:instrText>
      </w:r>
      <w:r>
        <w:fldChar w:fldCharType="separate"/>
      </w:r>
      <w:r>
        <w:rPr>
          <w:rFonts w:ascii="XO Thames" w:hAnsi="XO Thames"/>
          <w:sz w:val="28"/>
          <w:color w:val="1070A7"/>
          <w:u w:val="single"/>
        </w:rPr>
        <w:t vyd:_id="vyd:0000000000000g">Банк России</w:t>
      </w:r>
      <w:r>
        <w:fldChar w:fldCharType="end" vyd:_id="vyd:0000000000000h-end"/>
      </w:r>
      <w:r>
        <w:rPr>
          <w:rFonts w:ascii="XO Thames" w:hAnsi="XO Thames"/>
          <w:sz w:val="28"/>
          <w:color w:val="000000"/>
        </w:rPr>
        <w:t vyd:_id="vyd:0000000000000f">.</w:t>
      </w:r>
    </w:p>
    <w:p w14:paraId="24000000" vyd:_id="vyd:00000000000009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0d" xml:space="preserve">С 1 января 2020 года денежные споры с микрофинансовыми организациями можно улаживать с помощью </w:t>
      </w:r>
      <w:r>
        <w:fldChar w:fldCharType="begin" vyd:_id="vyd:0000000000000c"/>
      </w:r>
      <w:r>
        <w:instrText>HYPERLINK "https://fincult.info/article/finansovyy-ombudsmen-zachem-on-nuzhen-i-kogda-k-nemu-obrashchatsya/"</w:instrText>
      </w:r>
      <w:r>
        <w:fldChar w:fldCharType="separate"/>
      </w:r>
      <w:r>
        <w:rPr>
          <w:rFonts w:ascii="XO Thames" w:hAnsi="XO Thames"/>
          <w:sz w:val="28"/>
          <w:color w:val="1070A7"/>
          <w:u w:val="single"/>
        </w:rPr>
        <w:t vyd:_id="vyd:0000000000000b">финансового омбудсмена</w:t>
      </w:r>
      <w:r>
        <w:fldChar w:fldCharType="end" vyd:_id="vyd:0000000000000c-end"/>
      </w:r>
      <w:r>
        <w:rPr>
          <w:rFonts w:ascii="XO Thames" w:hAnsi="XO Thames"/>
          <w:sz w:val="28"/>
          <w:color w:val="000000"/>
        </w:rPr>
        <w:t vyd:_id="vyd:0000000000000a">.</w:t>
      </w:r>
    </w:p>
    <w:p w14:paraId="25000000" vyd:_id="vyd:00000000000004">
      <w:pPr>
        <w:spacing w:after="280" w:line="240" w:lineRule="auto"/>
        <w:ind/>
        <w:jc w:val="both"/>
        <w:rPr>
          <w:rFonts w:ascii="XO Thames" w:hAnsi="XO Thames"/>
          <w:sz w:val="28"/>
          <w:color w:val="000000"/>
        </w:rPr>
      </w:pPr>
      <w:r>
        <w:rPr>
          <w:rFonts w:ascii="XO Thames" w:hAnsi="XO Thames"/>
          <w:sz w:val="28"/>
          <w:color w:val="000000"/>
        </w:rPr>
        <w:t vyd:_id="vyd:00000000000008" xml:space="preserve">Он рассматривает дела быстро — не больше 15 дней. Для потребителей его услуги бесплатны. Подать заявление можно </w:t>
      </w:r>
      <w:r>
        <w:fldChar w:fldCharType="begin" vyd:_id="vyd:00000000000007"/>
      </w:r>
      <w:r>
        <w:instrText>HYPERLINK "https://finombudsman.ru/"</w:instrText>
      </w:r>
      <w:r>
        <w:fldChar w:fldCharType="separate"/>
      </w:r>
      <w:r>
        <w:rPr>
          <w:rFonts w:ascii="XO Thames" w:hAnsi="XO Thames"/>
          <w:sz w:val="28"/>
          <w:color w:val="1070A7"/>
          <w:u w:val="single"/>
        </w:rPr>
        <w:t vyd:_id="vyd:00000000000006">онлайн</w:t>
      </w:r>
      <w:r>
        <w:fldChar w:fldCharType="end" vyd:_id="vyd:00000000000007-end"/>
      </w:r>
      <w:r>
        <w:rPr>
          <w:rFonts w:ascii="XO Thames" w:hAnsi="XO Thames"/>
          <w:sz w:val="28"/>
          <w:color w:val="000000"/>
        </w:rPr>
        <w:t vyd:_id="vyd:00000000000005">. Решение омбудсмена имеет такую же силу, как и постановление суда.</w:t>
      </w:r>
    </w:p>
    <w:p w14:paraId="26000000" vyd:_id="vyd:00000000000003">
      <w:pPr>
        <w:ind/>
        <w:jc w:val="both"/>
        <w:rPr>
          <w:rFonts w:ascii="XO Thames" w:hAnsi="XO Thames"/>
          <w:sz w:val="28"/>
        </w:rPr>
      </w:pPr>
    </w:p>
    <w:sectPr vyd:_id="vyd:00000000000002">
      <w:type w:val="nextPage"/>
      <w:pgSz w:w="11906" w:h="16838" w:orient="portrait"/>
      <w:pgMar w:top="142" w:right="850" w:bottom="1134" w:left="1701" w:header="708" w:footer="708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1"/>
      <w:numFmt w:val="decimal"/>
      <w:lvlText w:val="%2."/>
      <w:lvlJc w:val="start"/>
      <w:pPr>
        <w:ind w:start="1440" w:hanging="360"/>
      </w:pPr>
    </w:lvl>
    <w:lvl w:ilvl="2">
      <w:start w:val="1"/>
      <w:numFmt w:val="decimal"/>
      <w:lvlText w:val="%3."/>
      <w:lvlJc w:val="start"/>
      <w:pPr>
        <w:ind w:start="2160" w:hanging="36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decimal"/>
      <w:lvlText w:val="%5."/>
      <w:lvlJc w:val="start"/>
      <w:pPr>
        <w:ind w:start="3600" w:hanging="360"/>
      </w:pPr>
    </w:lvl>
    <w:lvl w:ilvl="5">
      <w:start w:val="1"/>
      <w:numFmt w:val="decimal"/>
      <w:lvlText w:val="%6."/>
      <w:lvlJc w:val="start"/>
      <w:pPr>
        <w:ind w:start="4320" w:hanging="36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decimal"/>
      <w:lvlText w:val="%8."/>
      <w:lvlJc w:val="start"/>
      <w:pPr>
        <w:ind w:start="5760" w:hanging="360"/>
      </w:pPr>
    </w:lvl>
    <w:lvl w:ilvl="8">
      <w:start w:val="1"/>
      <w:numFmt w:val="decimal"/>
      <w:lvlText w:val="%9."/>
      <w:lvlJc w:val="start"/>
      <w:pPr>
        <w:ind w:start="648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evenAndOddHeaders w:val="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color w:val="000000"/>
        <w:spacing w:val="0"/>
      </w:rPr>
    </w:rPrDefault>
    <w:pPrDefault>
      <w:pPr>
        <w:spacing w:after="160" w:before="0" w:line="264" w:lineRule="auto"/>
        <w:ind w:start="0" w:end="0" w:firstLine="0"/>
        <w:jc w:val="start"/>
      </w:pPr>
    </w:pPrDefault>
  </w:docDefaults>
  <w:latentStyles w:defSemiHidden="1" w:defUnhideWhenUsed="1" w:count="25">
    <w:lsdException w:name="Endnote" w:semiHidden="0" w:unhideWhenUsed="0" w:qFormat="0"/>
    <w:lsdException w:name="Footnote" w:semiHidden="0" w:unhideWhenUsed="0" w:qFormat="0"/>
    <w:lsdException w:name="Header and Footer" w:semiHidden="0" w:unhideWhenUsed="0" w:qFormat="0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yperlink" w:semiHidden="0" w:unhideWhenUsed="0" w:qFormat="0"/>
    <w:lsdException w:name="Normal" w:uiPriority="0" w:semiHidden="0" w:unhideWhenUsed="0" w:qFormat="1"/>
    <w:lsdException w:name="Subtitle" w:uiPriority="11" w:semiHidden="0" w:unhideWhenUsed="0" w:qFormat="1"/>
    <w:lsdException w:name="Title" w:uiPriority="10" w:semiHidden="0" w:unhideWhenUsed="0" w:qFormat="1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</w:latentStyles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_10_ch">
    <w:name w:val="heading 1"/>
    <w:basedOn w:val="Style_1_ch"/>
    <w:link w:val="Style_10_ch"/>
    <w:rPr>
      <w:rFonts w:ascii="Arial" w:hAnsi="Arial"/>
      <w:sz w:val="32"/>
      <w:color w:val="2E75B5"/>
    </w:rPr>
  </w:style>
  <w:style w:type="character" w:styleId="Style_11_ch">
    <w:name w:val="Hyperlink"/>
    <w:link w:val="Style_11_ch"/>
    <w:rPr>
      <w:color w:val="0000FF"/>
      <w:u w:val="single"/>
    </w:rPr>
  </w:style>
  <w:style w:type="character" w:styleId="Style_12_ch">
    <w:name w:val="Footnote"/>
    <w:link w:val="Style_12_ch"/>
    <w:rPr>
      <w:rFonts w:ascii="XO Thames" w:hAnsi="XO Thames"/>
      <w:sz w:val="22"/>
    </w:rPr>
  </w:style>
  <w:style w:type="character" w:styleId="Style_13_ch">
    <w:name w:val="toc 1"/>
    <w:link w:val="Style_13_ch"/>
    <w:rPr>
      <w:rFonts w:ascii="XO Thames" w:hAnsi="XO Thames"/>
      <w:sz w:val="28"/>
      <w:b w:val="1"/>
    </w:rPr>
  </w:style>
  <w:style w:type="character" w:styleId="Style_14_ch">
    <w:name w:val="Header and Footer"/>
    <w:link w:val="Style_14_ch"/>
    <w:rPr>
      <w:rFonts w:ascii="XO Thames" w:hAnsi="XO Thames"/>
      <w:sz w:val="28"/>
    </w:rPr>
  </w:style>
  <w:style w:type="character" w:styleId="Style_15_ch">
    <w:name w:val="toc 9"/>
    <w:link w:val="Style_15_ch"/>
    <w:rPr>
      <w:rFonts w:ascii="XO Thames" w:hAnsi="XO Thames"/>
      <w:sz w:val="28"/>
    </w:rPr>
  </w:style>
  <w:style w:type="character" w:styleId="Style_16_ch">
    <w:name w:val="toc 8"/>
    <w:link w:val="Style_16_ch"/>
    <w:rPr>
      <w:rFonts w:ascii="XO Thames" w:hAnsi="XO Thames"/>
      <w:sz w:val="28"/>
    </w:rPr>
  </w:style>
  <w:style w:type="character" w:styleId="Style_17_ch">
    <w:name w:val="toc 5"/>
    <w:link w:val="Style_17_ch"/>
    <w:rPr>
      <w:rFonts w:ascii="XO Thames" w:hAnsi="XO Thames"/>
      <w:sz w:val="28"/>
    </w:rPr>
  </w:style>
  <w:style w:type="character" w:styleId="Style_18_ch">
    <w:name w:val="Subtitle"/>
    <w:basedOn w:val="Style_1_ch"/>
    <w:link w:val="Style_18_ch"/>
    <w:rPr>
      <w:rFonts w:ascii="Georgia" w:hAnsi="Georgia"/>
      <w:sz w:val="48"/>
      <w:color w:val="666666"/>
      <w:i w:val="1"/>
    </w:rPr>
  </w:style>
  <w:style w:type="character" w:styleId="Style_19_ch">
    <w:name w:val="Title"/>
    <w:basedOn w:val="Style_1_ch"/>
    <w:link w:val="Style_19_ch"/>
    <w:rPr>
      <w:sz w:val="72"/>
      <w:b w:val="1"/>
    </w:rPr>
  </w:style>
  <w:style w:type="character" w:styleId="Style_1_ch" w:default="1">
    <w:name w:val="Normal"/>
    <w:link w:val="Style_1_ch"/>
  </w:style>
  <w:style w:type="character" w:styleId="Style_20_ch">
    <w:name w:val="heading 4"/>
    <w:basedOn w:val="Style_1_ch"/>
    <w:link w:val="Style_20_ch"/>
    <w:rPr>
      <w:sz w:val="24"/>
      <w:b w:val="1"/>
    </w:rPr>
  </w:style>
  <w:style w:type="character" w:styleId="Style_21_ch">
    <w:name w:val="heading 2"/>
    <w:basedOn w:val="Style_1_ch"/>
    <w:link w:val="Style_21_ch"/>
    <w:rPr>
      <w:rFonts w:ascii="Calibri" w:hAnsi="Calibri"/>
      <w:sz w:val="26"/>
      <w:color w:val="2E75B5"/>
    </w:rPr>
  </w:style>
  <w:style w:type="character" w:styleId="Style_22_ch">
    <w:name w:val="heading 6"/>
    <w:basedOn w:val="Style_1_ch"/>
    <w:link w:val="Style_22_ch"/>
    <w:rPr>
      <w:sz w:val="20"/>
      <w:b w:val="1"/>
    </w:rPr>
  </w:style>
  <w:style w:type="table" w:styleId="Style_23" w:default="1">
    <w:name w:val="Table Normal"/>
  </w:style>
  <w:style w:type="character" w:styleId="Style_2_ch">
    <w:name w:val="toc 2"/>
    <w:link w:val="Style_2_ch"/>
    <w:rPr>
      <w:rFonts w:ascii="XO Thames" w:hAnsi="XO Thames"/>
      <w:sz w:val="28"/>
    </w:rPr>
  </w:style>
  <w:style w:type="character" w:styleId="Style_3_ch">
    <w:name w:val="toc 4"/>
    <w:link w:val="Style_3_ch"/>
    <w:rPr>
      <w:rFonts w:ascii="XO Thames" w:hAnsi="XO Thames"/>
      <w:sz w:val="28"/>
    </w:rPr>
  </w:style>
  <w:style w:type="character" w:styleId="Style_4_ch">
    <w:name w:val="toc 6"/>
    <w:link w:val="Style_4_ch"/>
    <w:rPr>
      <w:rFonts w:ascii="XO Thames" w:hAnsi="XO Thames"/>
      <w:sz w:val="28"/>
    </w:rPr>
  </w:style>
  <w:style w:type="character" w:styleId="Style_5_ch">
    <w:name w:val="toc 7"/>
    <w:link w:val="Style_5_ch"/>
    <w:rPr>
      <w:rFonts w:ascii="XO Thames" w:hAnsi="XO Thames"/>
      <w:sz w:val="28"/>
    </w:rPr>
  </w:style>
  <w:style w:type="character" w:styleId="Style_6_ch">
    <w:name w:val="Endnote"/>
    <w:link w:val="Style_6_ch"/>
    <w:rPr>
      <w:rFonts w:ascii="XO Thames" w:hAnsi="XO Thames"/>
      <w:sz w:val="22"/>
    </w:rPr>
  </w:style>
  <w:style w:type="character" w:styleId="Style_7_ch">
    <w:name w:val="heading 3"/>
    <w:basedOn w:val="Style_1_ch"/>
    <w:link w:val="Style_7_ch"/>
    <w:rPr>
      <w:rFonts w:ascii="Calibri" w:hAnsi="Calibri"/>
      <w:sz w:val="24"/>
      <w:color w:val="1E4D78"/>
    </w:rPr>
  </w:style>
  <w:style w:type="character" w:styleId="Style_8_ch">
    <w:name w:val="toc 3"/>
    <w:link w:val="Style_8_ch"/>
    <w:rPr>
      <w:rFonts w:ascii="XO Thames" w:hAnsi="XO Thames"/>
      <w:sz w:val="28"/>
    </w:rPr>
  </w:style>
  <w:style w:type="character" w:styleId="Style_9_ch">
    <w:name w:val="heading 5"/>
    <w:basedOn w:val="Style_1_ch"/>
    <w:link w:val="Style_9_ch"/>
    <w:rPr>
      <w:sz w:val="22"/>
      <w:b w:val="1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w="http://schemas.openxmlformats.org/wordprocessingml/2006/main">
  <w:allowPNG/>
  <w:doNotSaveAsSingleFile/>
</w:webSettings>
</file>

<file path=word/_rels/document.xml.rels><?xml version="1.0" ?><Relationships xmlns="http://schemas.openxmlformats.org/package/2006/relationships"><Relationship Id="rId6" Target="webSettings.xml" Type="http://schemas.openxmlformats.org/officeDocument/2006/relationships/webSettings"/><Relationship Id="rId2" Target="fontTable.xml" Type="http://schemas.openxmlformats.org/officeDocument/2006/relationships/fontTable"/><Relationship Id="rId3" Target="settings.xml" Type="http://schemas.openxmlformats.org/officeDocument/2006/relationships/settings"/><Relationship Id="rId8" Target="numbering.xml" Type="http://schemas.openxmlformats.org/officeDocument/2006/relationships/numbering"/><Relationship Id="rId4" Target="styles.xml" Type="http://schemas.openxmlformats.org/officeDocument/2006/relationships/styles"/><Relationship Id="rId7" Target="theme/theme1.xml" Type="http://schemas.openxmlformats.org/officeDocument/2006/relationships/theme"/><Relationship Id="rId5" Target="stylesWithEffects.xml" Type="http://schemas.microsoft.com/office/2007/relationships/stylesWithEffects"/><Relationship Id="rId1" Type="http://schemas.openxmlformats.org/officeDocument/2006/relationships/image" Target="media/1.png"/></Relationships>
</file>

<file path=word/theme/theme1.xml><?xml version="1.0" encoding="utf-8"?>
<a:theme xmlns:a="http://schemas.openxmlformats.org/drawingml/2006/mai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Normal.dotm</ep:Template>
  <ep:TotalTime>0</ep:TotalTime>
  <ep:DocSecurity>0</ep:DocSecurity>
  <ep:ScaleCrop>false</ep:ScaleCrop>
  <ep:Application>MyOffice-CoreFramework-Linux/33-1224.848.9400.852.1@a485da99dcc738e8c7d147737040082c6b3f9fe8</ep:Application>
</ep:Properties>
</file>

<file path=docProps/core.xml><?xml version="1.0" encoding="utf-8"?>
<cp:coreProperties xmlns:cp="http://schemas.openxmlformats.org/package/2006/metadata/core-properties" xmlns:xsi="http://www.w3.org/2001/XMLSchema-instance" xmlns:dcterms="http://purl.org/dc/terms/">
  <dcterms:modified xsi:type="dcterms:W3CDTF">2024-11-07T10:29:56Z</dcterms:modified>
</cp:coreProperties>
</file>